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(Nom, prénom de l’associé)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(Adresse)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36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(Nom de la société)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color w:val="4654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jc w:val="right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À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… (lieu)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le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… (date)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Objet : Question(s) avant l’Assemblée Générale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Lettre recommandée avec accusé de réception n°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Madame / Monsieur le Gérant (adapter au genre),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Les documents préparatoires à l’Assemblée Générale annuelle sont prêts : textes des résolutions et documents comptables.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Après les avoir consultés, je souhaiterais obtenir des précisions sur la question suivante :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(question suffisamment détaillée)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La réponse à la question doit être soumise avant le vote des associés, conformément à l’article L. 223-26 du Code de commerce.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Je vous remercie par avance des éclaircissements et vous prie d’agréer,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Madame / Monsieur le Gérant (adapter au genre)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l’assurance de ma meilleure considération.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(Signature de l’associé)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