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(En-tête de la société)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(Nom de l’acheteur)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(Adresse de l’acheteur)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color w:val="4654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jc w:val="right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À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 … (lieu)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, le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… (date)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Objet : Mise en demeure de payer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Lettre recommandée avec accusé de réception n°…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Madame / Monsieur (nom)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,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À ce jour, malgré le courrier de rappel du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(préciser la date)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, vous êtes toujours débiteur d’une somme de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(préciser le montant)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 euros, relative à la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facture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n° (…)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 du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(date)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Vous comprendrez aisément le préjudice que nous cause ce retard de paiement.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Par la présente, nous avons le regret de vous mettre en demeure de payer la somme de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(montant) 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euros qui correspond aux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(montant) 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euros de la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facture n° (…)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,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 à laquelle s’ajoute le montant des pénalités de retard s’élevant à ce jour à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(montant)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 euros, en vertu de l’application de nos conditions générales de vente et de l’article L. 441-6 du Code de commerce (modifié par la loi n°2018-938 du 30 octobre 2018).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Si le paiement n’intervient pas sous huit jours, nous 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intenterons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 une action judiciaire à votre encontre afin d’obtenir le règlement des sommes dues ainsi que les dommages et intérêts inhérents pour le préjudice causé.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Nous vous prions d’agréer,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Madame / Monsieur (nom)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, l’expression de nos salutations distinguées.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b w:val="1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(Signature)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